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3716" w14:textId="77777777" w:rsidR="006166BD" w:rsidRDefault="006166BD" w:rsidP="00B5114D">
      <w:pPr>
        <w:rPr>
          <w:b/>
          <w:bCs/>
          <w:sz w:val="20"/>
          <w:szCs w:val="20"/>
        </w:rPr>
      </w:pPr>
    </w:p>
    <w:p w14:paraId="20EBB201" w14:textId="77777777" w:rsidR="006166BD" w:rsidRDefault="006166BD" w:rsidP="00B5114D">
      <w:pPr>
        <w:rPr>
          <w:b/>
          <w:bCs/>
          <w:sz w:val="20"/>
          <w:szCs w:val="20"/>
        </w:rPr>
      </w:pPr>
    </w:p>
    <w:p w14:paraId="58483CCC" w14:textId="378914B2" w:rsidR="00B5114D" w:rsidRPr="006166BD" w:rsidRDefault="00D65AF3" w:rsidP="00B5114D">
      <w:pPr>
        <w:rPr>
          <w:b/>
          <w:bCs/>
          <w:sz w:val="24"/>
          <w:szCs w:val="24"/>
        </w:rPr>
      </w:pPr>
      <w:r w:rsidRPr="006166BD">
        <w:rPr>
          <w:b/>
          <w:bCs/>
          <w:sz w:val="24"/>
          <w:szCs w:val="24"/>
        </w:rPr>
        <w:t>Position</w:t>
      </w:r>
      <w:r w:rsidR="003741AF" w:rsidRPr="006166BD">
        <w:rPr>
          <w:b/>
          <w:bCs/>
          <w:sz w:val="24"/>
          <w:szCs w:val="24"/>
        </w:rPr>
        <w:t xml:space="preserve"> Description</w:t>
      </w:r>
      <w:r w:rsidRPr="006166BD">
        <w:rPr>
          <w:b/>
          <w:bCs/>
          <w:sz w:val="24"/>
          <w:szCs w:val="24"/>
        </w:rPr>
        <w:t xml:space="preserve">: </w:t>
      </w:r>
      <w:r w:rsidR="00B5114D" w:rsidRPr="006166BD">
        <w:rPr>
          <w:b/>
          <w:bCs/>
          <w:sz w:val="24"/>
          <w:szCs w:val="24"/>
        </w:rPr>
        <w:t>Customer Service and Community Engagement</w:t>
      </w:r>
      <w:r w:rsidR="00490D19" w:rsidRPr="006166BD">
        <w:rPr>
          <w:b/>
          <w:bCs/>
          <w:sz w:val="24"/>
          <w:szCs w:val="24"/>
        </w:rPr>
        <w:t xml:space="preserve"> Manager</w:t>
      </w:r>
    </w:p>
    <w:p w14:paraId="576B9976" w14:textId="549A1545" w:rsidR="00B5114D" w:rsidRPr="006166BD" w:rsidRDefault="00B5114D" w:rsidP="00B5114D">
      <w:pPr>
        <w:rPr>
          <w:b/>
          <w:bCs/>
          <w:sz w:val="20"/>
          <w:szCs w:val="20"/>
        </w:rPr>
      </w:pPr>
      <w:r w:rsidRPr="006166BD">
        <w:rPr>
          <w:b/>
          <w:bCs/>
          <w:sz w:val="20"/>
          <w:szCs w:val="20"/>
        </w:rPr>
        <w:t>Position Overview</w:t>
      </w:r>
    </w:p>
    <w:p w14:paraId="249B8D7A" w14:textId="59045950" w:rsidR="00B458AF" w:rsidRPr="006166BD" w:rsidRDefault="00B5114D" w:rsidP="00B5114D">
      <w:pPr>
        <w:rPr>
          <w:sz w:val="20"/>
          <w:szCs w:val="20"/>
        </w:rPr>
      </w:pPr>
      <w:r w:rsidRPr="006166BD">
        <w:rPr>
          <w:sz w:val="20"/>
          <w:szCs w:val="20"/>
        </w:rPr>
        <w:t xml:space="preserve">The </w:t>
      </w:r>
      <w:r w:rsidRPr="006166BD">
        <w:rPr>
          <w:b/>
          <w:bCs/>
          <w:sz w:val="20"/>
          <w:szCs w:val="20"/>
        </w:rPr>
        <w:t>Customer Service and Community Engagement</w:t>
      </w:r>
      <w:r w:rsidRPr="006166BD">
        <w:rPr>
          <w:sz w:val="20"/>
          <w:szCs w:val="20"/>
        </w:rPr>
        <w:t xml:space="preserve"> role delivers exceptional customer experiences</w:t>
      </w:r>
      <w:r w:rsidR="003F5DDE" w:rsidRPr="006166BD">
        <w:rPr>
          <w:sz w:val="20"/>
          <w:szCs w:val="20"/>
        </w:rPr>
        <w:t xml:space="preserve"> working with residents and </w:t>
      </w:r>
      <w:r w:rsidR="00DB5802" w:rsidRPr="006166BD">
        <w:rPr>
          <w:sz w:val="20"/>
          <w:szCs w:val="20"/>
        </w:rPr>
        <w:t xml:space="preserve">hirers across </w:t>
      </w:r>
      <w:r w:rsidR="00B458AF" w:rsidRPr="006166BD">
        <w:rPr>
          <w:sz w:val="20"/>
          <w:szCs w:val="20"/>
        </w:rPr>
        <w:t xml:space="preserve">Canberra’s </w:t>
      </w:r>
      <w:r w:rsidR="00DB5802" w:rsidRPr="006166BD">
        <w:rPr>
          <w:sz w:val="20"/>
          <w:szCs w:val="20"/>
        </w:rPr>
        <w:t>a</w:t>
      </w:r>
      <w:r w:rsidR="003F5DDE" w:rsidRPr="006166BD">
        <w:rPr>
          <w:sz w:val="20"/>
          <w:szCs w:val="20"/>
        </w:rPr>
        <w:t xml:space="preserve">rts </w:t>
      </w:r>
      <w:r w:rsidR="00DB5802" w:rsidRPr="006166BD">
        <w:rPr>
          <w:sz w:val="20"/>
          <w:szCs w:val="20"/>
        </w:rPr>
        <w:t xml:space="preserve">sector and creative community. The role is responsible for </w:t>
      </w:r>
      <w:r w:rsidR="00B458AF" w:rsidRPr="006166BD">
        <w:rPr>
          <w:sz w:val="20"/>
          <w:szCs w:val="20"/>
        </w:rPr>
        <w:t xml:space="preserve">all resident and community venue </w:t>
      </w:r>
      <w:r w:rsidR="00A904E4" w:rsidRPr="006166BD">
        <w:rPr>
          <w:sz w:val="20"/>
          <w:szCs w:val="20"/>
        </w:rPr>
        <w:t>use</w:t>
      </w:r>
      <w:r w:rsidR="00B458AF" w:rsidRPr="006166BD">
        <w:rPr>
          <w:sz w:val="20"/>
          <w:szCs w:val="20"/>
        </w:rPr>
        <w:t xml:space="preserve"> across both Ainslie Art Centre and Gorman Art Centre</w:t>
      </w:r>
      <w:r w:rsidR="008C769C" w:rsidRPr="006166BD">
        <w:rPr>
          <w:sz w:val="20"/>
          <w:szCs w:val="20"/>
        </w:rPr>
        <w:t>s</w:t>
      </w:r>
      <w:r w:rsidR="00B458AF" w:rsidRPr="006166BD">
        <w:rPr>
          <w:sz w:val="20"/>
          <w:szCs w:val="20"/>
        </w:rPr>
        <w:t xml:space="preserve">. The role also </w:t>
      </w:r>
      <w:r w:rsidR="00096124" w:rsidRPr="006166BD">
        <w:rPr>
          <w:sz w:val="20"/>
          <w:szCs w:val="20"/>
        </w:rPr>
        <w:t>oversee</w:t>
      </w:r>
      <w:r w:rsidR="00B458AF" w:rsidRPr="006166BD">
        <w:rPr>
          <w:sz w:val="20"/>
          <w:szCs w:val="20"/>
        </w:rPr>
        <w:t>s</w:t>
      </w:r>
      <w:r w:rsidR="00096124" w:rsidRPr="006166BD">
        <w:rPr>
          <w:sz w:val="20"/>
          <w:szCs w:val="20"/>
        </w:rPr>
        <w:t xml:space="preserve"> Ainslie+Gorman’s commercial operations, including the on-site café at Gorman Art Centre and commercial event management. </w:t>
      </w:r>
    </w:p>
    <w:p w14:paraId="22E9F52E" w14:textId="1BE4F9D5" w:rsidR="009A7FF8" w:rsidRPr="006166BD" w:rsidRDefault="00AE771D" w:rsidP="00B5114D">
      <w:pPr>
        <w:rPr>
          <w:sz w:val="20"/>
          <w:szCs w:val="20"/>
        </w:rPr>
      </w:pPr>
      <w:r w:rsidRPr="006166BD">
        <w:rPr>
          <w:sz w:val="20"/>
          <w:szCs w:val="20"/>
        </w:rPr>
        <w:t xml:space="preserve">This highly collaborative </w:t>
      </w:r>
      <w:r w:rsidR="009A7FF8" w:rsidRPr="006166BD">
        <w:rPr>
          <w:sz w:val="20"/>
          <w:szCs w:val="20"/>
        </w:rPr>
        <w:t xml:space="preserve">role works </w:t>
      </w:r>
      <w:r w:rsidR="00293B5B" w:rsidRPr="006166BD">
        <w:rPr>
          <w:sz w:val="20"/>
          <w:szCs w:val="20"/>
        </w:rPr>
        <w:t xml:space="preserve">with stakeholders to partner with A+G to achieve our </w:t>
      </w:r>
      <w:r w:rsidR="00356380" w:rsidRPr="006166BD">
        <w:rPr>
          <w:sz w:val="20"/>
          <w:szCs w:val="20"/>
        </w:rPr>
        <w:t xml:space="preserve">strategic objectives. As a senior manager within the team, </w:t>
      </w:r>
      <w:r w:rsidR="006166BD">
        <w:rPr>
          <w:sz w:val="20"/>
          <w:szCs w:val="20"/>
        </w:rPr>
        <w:t xml:space="preserve">reporting to the CFO and working closely with the CEO, </w:t>
      </w:r>
      <w:r w:rsidR="00356380" w:rsidRPr="006166BD">
        <w:rPr>
          <w:sz w:val="20"/>
          <w:szCs w:val="20"/>
        </w:rPr>
        <w:t xml:space="preserve">the </w:t>
      </w:r>
      <w:r w:rsidR="00CF0994" w:rsidRPr="006166BD">
        <w:rPr>
          <w:sz w:val="20"/>
          <w:szCs w:val="20"/>
        </w:rPr>
        <w:t xml:space="preserve">Customer Service and Community Engagement Manager </w:t>
      </w:r>
      <w:r w:rsidR="002D62D7" w:rsidRPr="002D62D7">
        <w:rPr>
          <w:sz w:val="20"/>
          <w:szCs w:val="20"/>
        </w:rPr>
        <w:t>will contribute to revenue growth, manage budgets, provide input to planning, manage issues and risks, and drive ongoing improvement of operations</w:t>
      </w:r>
      <w:r w:rsidR="00C634A9" w:rsidRPr="006166BD">
        <w:rPr>
          <w:sz w:val="20"/>
          <w:szCs w:val="20"/>
        </w:rPr>
        <w:t>. The role oversees A+G’s Customer Service Officers</w:t>
      </w:r>
      <w:r w:rsidR="008C6D48" w:rsidRPr="006166BD">
        <w:rPr>
          <w:sz w:val="20"/>
          <w:szCs w:val="20"/>
        </w:rPr>
        <w:t xml:space="preserve">, </w:t>
      </w:r>
      <w:r w:rsidR="00C634A9" w:rsidRPr="006166BD">
        <w:rPr>
          <w:sz w:val="20"/>
          <w:szCs w:val="20"/>
        </w:rPr>
        <w:t>manages the casual staff pool</w:t>
      </w:r>
      <w:r w:rsidR="008C6D48" w:rsidRPr="006166BD">
        <w:rPr>
          <w:sz w:val="20"/>
          <w:szCs w:val="20"/>
        </w:rPr>
        <w:t xml:space="preserve"> and </w:t>
      </w:r>
      <w:r w:rsidR="006B42D1" w:rsidRPr="006166BD">
        <w:rPr>
          <w:sz w:val="20"/>
          <w:szCs w:val="20"/>
        </w:rPr>
        <w:t>contributes to after hours monitoring of operations via an agreed roster.</w:t>
      </w:r>
    </w:p>
    <w:p w14:paraId="16FF01FF" w14:textId="54B193CA" w:rsidR="00D65AF3" w:rsidRPr="006166BD" w:rsidRDefault="00D65AF3" w:rsidP="00B5114D">
      <w:pPr>
        <w:rPr>
          <w:sz w:val="20"/>
          <w:szCs w:val="20"/>
        </w:rPr>
      </w:pPr>
      <w:r w:rsidRPr="006166BD">
        <w:rPr>
          <w:sz w:val="20"/>
          <w:szCs w:val="20"/>
        </w:rPr>
        <w:t xml:space="preserve">Prior management </w:t>
      </w:r>
      <w:r w:rsidR="00941CAE" w:rsidRPr="006166BD">
        <w:rPr>
          <w:sz w:val="20"/>
          <w:szCs w:val="20"/>
        </w:rPr>
        <w:t>experience in</w:t>
      </w:r>
      <w:r w:rsidRPr="006166BD">
        <w:rPr>
          <w:sz w:val="20"/>
          <w:szCs w:val="20"/>
        </w:rPr>
        <w:t xml:space="preserve"> community and/or arts centres, legal</w:t>
      </w:r>
      <w:r w:rsidR="00941CAE" w:rsidRPr="006166BD">
        <w:rPr>
          <w:sz w:val="20"/>
          <w:szCs w:val="20"/>
        </w:rPr>
        <w:t xml:space="preserve"> and/or finance </w:t>
      </w:r>
      <w:r w:rsidR="006166BD" w:rsidRPr="006166BD">
        <w:rPr>
          <w:sz w:val="20"/>
          <w:szCs w:val="20"/>
        </w:rPr>
        <w:t xml:space="preserve">roles </w:t>
      </w:r>
      <w:r w:rsidR="00941CAE" w:rsidRPr="006166BD">
        <w:rPr>
          <w:sz w:val="20"/>
          <w:szCs w:val="20"/>
        </w:rPr>
        <w:t>highly desirable.</w:t>
      </w:r>
    </w:p>
    <w:p w14:paraId="3AB99994" w14:textId="77777777" w:rsidR="00B5114D" w:rsidRPr="006166BD" w:rsidRDefault="00B5114D" w:rsidP="00B5114D">
      <w:pPr>
        <w:rPr>
          <w:b/>
          <w:bCs/>
          <w:sz w:val="20"/>
          <w:szCs w:val="20"/>
        </w:rPr>
      </w:pPr>
      <w:r w:rsidRPr="006166BD">
        <w:rPr>
          <w:b/>
          <w:bCs/>
          <w:sz w:val="20"/>
          <w:szCs w:val="20"/>
        </w:rPr>
        <w:t>Responsibilities</w:t>
      </w:r>
    </w:p>
    <w:p w14:paraId="78A64EA1" w14:textId="77777777" w:rsidR="00651752" w:rsidRPr="006166BD" w:rsidRDefault="00651752" w:rsidP="00651752">
      <w:pPr>
        <w:rPr>
          <w:b/>
          <w:bCs/>
          <w:sz w:val="20"/>
          <w:szCs w:val="20"/>
        </w:rPr>
      </w:pPr>
      <w:r w:rsidRPr="006166BD">
        <w:rPr>
          <w:b/>
          <w:bCs/>
          <w:sz w:val="20"/>
          <w:szCs w:val="20"/>
        </w:rPr>
        <w:t>1. Commercial Operations &amp; Partnerships</w:t>
      </w:r>
    </w:p>
    <w:p w14:paraId="1F2369E2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Oversee A+G’s commercial operations, including the on</w:t>
      </w:r>
      <w:r w:rsidRPr="006166BD">
        <w:rPr>
          <w:sz w:val="20"/>
          <w:szCs w:val="20"/>
        </w:rPr>
        <w:noBreakHyphen/>
        <w:t>site café at Gorman Arts Centre.</w:t>
      </w:r>
    </w:p>
    <w:p w14:paraId="2CA1B7A1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Manage commercial event partnerships, ensuring brand alignment, service quality, and contract compliance.</w:t>
      </w:r>
    </w:p>
    <w:p w14:paraId="530E5BA0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Monitor commercial agreements, service level expectations, and revenue targets.</w:t>
      </w:r>
    </w:p>
    <w:p w14:paraId="68DDF58B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Identify and develop commercial opportunities that enhance utilisation and financial sustainability.</w:t>
      </w:r>
    </w:p>
    <w:p w14:paraId="019BE097" w14:textId="77777777" w:rsidR="00651752" w:rsidRPr="006166BD" w:rsidRDefault="00651752" w:rsidP="00651752">
      <w:pPr>
        <w:spacing w:after="0" w:line="240" w:lineRule="auto"/>
        <w:ind w:left="714"/>
        <w:rPr>
          <w:sz w:val="20"/>
          <w:szCs w:val="20"/>
        </w:rPr>
      </w:pPr>
    </w:p>
    <w:p w14:paraId="2621CF55" w14:textId="77777777" w:rsidR="00651752" w:rsidRPr="006166BD" w:rsidRDefault="00651752" w:rsidP="00651752">
      <w:pPr>
        <w:rPr>
          <w:b/>
          <w:bCs/>
          <w:sz w:val="20"/>
          <w:szCs w:val="20"/>
        </w:rPr>
      </w:pPr>
      <w:r w:rsidRPr="006166BD">
        <w:rPr>
          <w:b/>
          <w:bCs/>
          <w:sz w:val="20"/>
          <w:szCs w:val="20"/>
        </w:rPr>
        <w:t>2. Resident &amp; Community Venue Hire Oversight</w:t>
      </w:r>
    </w:p>
    <w:p w14:paraId="7A1BB0B0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Oversee all resident and community venue hires across Ainslie Arts Centre and Gorman Arts Centre.</w:t>
      </w:r>
    </w:p>
    <w:p w14:paraId="135654B7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Ensure booking processes (via Skedda) are efficient, customer</w:t>
      </w:r>
      <w:r w:rsidRPr="006166BD">
        <w:rPr>
          <w:sz w:val="20"/>
          <w:szCs w:val="20"/>
        </w:rPr>
        <w:noBreakHyphen/>
        <w:t>centred, and aligned with organisational policy.</w:t>
      </w:r>
    </w:p>
    <w:p w14:paraId="71FC9EDC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Maintain oversight of hire agreements, contractual compliance, and resource allocation.</w:t>
      </w:r>
    </w:p>
    <w:p w14:paraId="03674879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Ensure residents and hirers receive accurate information, responsive support, and high</w:t>
      </w:r>
      <w:r w:rsidRPr="006166BD">
        <w:rPr>
          <w:sz w:val="20"/>
          <w:szCs w:val="20"/>
        </w:rPr>
        <w:noBreakHyphen/>
        <w:t>quality service.</w:t>
      </w:r>
    </w:p>
    <w:p w14:paraId="14080B0E" w14:textId="77777777" w:rsidR="00651752" w:rsidRPr="006166BD" w:rsidRDefault="00651752" w:rsidP="00651752">
      <w:pPr>
        <w:spacing w:after="0" w:line="240" w:lineRule="auto"/>
        <w:ind w:left="714"/>
        <w:rPr>
          <w:sz w:val="20"/>
          <w:szCs w:val="20"/>
        </w:rPr>
      </w:pPr>
    </w:p>
    <w:p w14:paraId="2C5408D3" w14:textId="77777777" w:rsidR="00651752" w:rsidRPr="006166BD" w:rsidRDefault="00651752" w:rsidP="00651752">
      <w:pPr>
        <w:rPr>
          <w:b/>
          <w:bCs/>
          <w:sz w:val="20"/>
          <w:szCs w:val="20"/>
        </w:rPr>
      </w:pPr>
      <w:r w:rsidRPr="006166BD">
        <w:rPr>
          <w:b/>
          <w:bCs/>
          <w:sz w:val="20"/>
          <w:szCs w:val="20"/>
        </w:rPr>
        <w:t>3. Customer Service Leadership &amp; Team Management</w:t>
      </w:r>
    </w:p>
    <w:p w14:paraId="2EE34957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Lead Customer Service Officers and manage the casual staff pool.</w:t>
      </w:r>
    </w:p>
    <w:p w14:paraId="60815B68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Provide direction, supervision, rostering, and workflow coordination.</w:t>
      </w:r>
    </w:p>
    <w:p w14:paraId="5D9C8596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Ensure consistent, high</w:t>
      </w:r>
      <w:r w:rsidRPr="006166BD">
        <w:rPr>
          <w:sz w:val="20"/>
          <w:szCs w:val="20"/>
        </w:rPr>
        <w:noBreakHyphen/>
        <w:t>quality customer experiences across all touchpoints.</w:t>
      </w:r>
    </w:p>
    <w:p w14:paraId="58BDBF68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Build capability within the customer service team through coaching, guidance, and performance support.</w:t>
      </w:r>
    </w:p>
    <w:p w14:paraId="2814246B" w14:textId="77777777" w:rsidR="006166BD" w:rsidRDefault="006166BD" w:rsidP="00651752">
      <w:pPr>
        <w:rPr>
          <w:b/>
          <w:bCs/>
          <w:sz w:val="20"/>
          <w:szCs w:val="20"/>
        </w:rPr>
      </w:pPr>
    </w:p>
    <w:p w14:paraId="0264D28D" w14:textId="4E54D8F6" w:rsidR="00651752" w:rsidRPr="006166BD" w:rsidRDefault="00651752" w:rsidP="00651752">
      <w:pPr>
        <w:rPr>
          <w:b/>
          <w:bCs/>
          <w:sz w:val="20"/>
          <w:szCs w:val="20"/>
        </w:rPr>
      </w:pPr>
      <w:r w:rsidRPr="006166BD">
        <w:rPr>
          <w:b/>
          <w:bCs/>
          <w:sz w:val="20"/>
          <w:szCs w:val="20"/>
        </w:rPr>
        <w:t>4. Stakeholder Engagement &amp; Strategic Partnerships</w:t>
      </w:r>
    </w:p>
    <w:p w14:paraId="70EE0F8F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Build and maintain strong relationships with residents, hirers, artists, producers, donors, and community groups.</w:t>
      </w:r>
    </w:p>
    <w:p w14:paraId="77D7E4D3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Facilitate partnerships and collaborations that support A+G’s strategic objectives.</w:t>
      </w:r>
    </w:p>
    <w:p w14:paraId="30725795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Represent A+G at sector events, meetings, and public forums.</w:t>
      </w:r>
    </w:p>
    <w:p w14:paraId="2D96BC62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Work collaboratively with internal and external stakeholders to enhance A+G’s profile and impact.</w:t>
      </w:r>
    </w:p>
    <w:p w14:paraId="34355788" w14:textId="77777777" w:rsidR="00651752" w:rsidRPr="006166BD" w:rsidRDefault="00651752" w:rsidP="00651752">
      <w:pPr>
        <w:spacing w:after="0" w:line="240" w:lineRule="auto"/>
        <w:ind w:left="714"/>
        <w:rPr>
          <w:sz w:val="20"/>
          <w:szCs w:val="20"/>
        </w:rPr>
      </w:pPr>
    </w:p>
    <w:p w14:paraId="0AC5B97F" w14:textId="77777777" w:rsidR="00651752" w:rsidRPr="006166BD" w:rsidRDefault="00651752" w:rsidP="00651752">
      <w:pPr>
        <w:rPr>
          <w:b/>
          <w:bCs/>
          <w:sz w:val="20"/>
          <w:szCs w:val="20"/>
        </w:rPr>
      </w:pPr>
      <w:r w:rsidRPr="006166BD">
        <w:rPr>
          <w:b/>
          <w:bCs/>
          <w:sz w:val="20"/>
          <w:szCs w:val="20"/>
        </w:rPr>
        <w:t>5. Planning, Revenue, Risk &amp; Operational Improvement</w:t>
      </w:r>
    </w:p>
    <w:p w14:paraId="5E69F1F6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Contribute to revenue growth through strategic planning, pricing analysis, and development of new offerings.</w:t>
      </w:r>
    </w:p>
    <w:p w14:paraId="21744662" w14:textId="77777777" w:rsidR="00651752" w:rsidRPr="006166BD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>Manage budgets related to commercial operations, customer service, and venue hire.</w:t>
      </w:r>
    </w:p>
    <w:p w14:paraId="04BCD32E" w14:textId="77777777" w:rsidR="00651752" w:rsidRPr="008101C4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6166BD">
        <w:rPr>
          <w:sz w:val="20"/>
          <w:szCs w:val="20"/>
        </w:rPr>
        <w:t xml:space="preserve">Identify and manage risks associated with venue use, commercial partnerships, and customer </w:t>
      </w:r>
      <w:r w:rsidRPr="008101C4">
        <w:rPr>
          <w:sz w:val="20"/>
          <w:szCs w:val="20"/>
        </w:rPr>
        <w:t>operations.</w:t>
      </w:r>
    </w:p>
    <w:p w14:paraId="5AFE3A51" w14:textId="77777777" w:rsidR="00651752" w:rsidRPr="008101C4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8101C4">
        <w:rPr>
          <w:sz w:val="20"/>
          <w:szCs w:val="20"/>
        </w:rPr>
        <w:t>Lead continuous improvement initiatives to enhance operational efficiency and customer experience.</w:t>
      </w:r>
    </w:p>
    <w:p w14:paraId="66884314" w14:textId="30000836" w:rsidR="00651752" w:rsidRPr="008101C4" w:rsidRDefault="00651752" w:rsidP="00AF79D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8101C4">
        <w:rPr>
          <w:sz w:val="20"/>
          <w:szCs w:val="20"/>
        </w:rPr>
        <w:t>Contribute to organisational planning, reporting, and cross</w:t>
      </w:r>
      <w:r w:rsidRPr="008101C4">
        <w:rPr>
          <w:sz w:val="20"/>
          <w:szCs w:val="20"/>
        </w:rPr>
        <w:noBreakHyphen/>
        <w:t>team coordination.</w:t>
      </w:r>
    </w:p>
    <w:p w14:paraId="3ACD366B" w14:textId="77777777" w:rsidR="00651752" w:rsidRPr="008101C4" w:rsidRDefault="00651752" w:rsidP="00651752">
      <w:pPr>
        <w:spacing w:after="0" w:line="240" w:lineRule="auto"/>
        <w:ind w:left="714"/>
        <w:rPr>
          <w:sz w:val="20"/>
          <w:szCs w:val="20"/>
        </w:rPr>
      </w:pPr>
    </w:p>
    <w:p w14:paraId="4AF38A10" w14:textId="795A8FEB" w:rsidR="009B2E70" w:rsidRPr="008101C4" w:rsidRDefault="009B2E70" w:rsidP="009B2E70">
      <w:pPr>
        <w:pStyle w:val="AGList-Bullets"/>
        <w:numPr>
          <w:ilvl w:val="0"/>
          <w:numId w:val="0"/>
        </w:numPr>
        <w:tabs>
          <w:tab w:val="left" w:pos="709"/>
        </w:tabs>
        <w:rPr>
          <w:rFonts w:asciiTheme="minorHAnsi" w:hAnsiTheme="minorHAnsi"/>
        </w:rPr>
      </w:pPr>
      <w:r w:rsidRPr="008101C4">
        <w:rPr>
          <w:rFonts w:asciiTheme="minorHAnsi" w:hAnsiTheme="minorHAnsi"/>
        </w:rPr>
        <w:t xml:space="preserve">The Customer Service and Community Engagement Manager </w:t>
      </w:r>
      <w:r w:rsidR="008101C4" w:rsidRPr="008101C4">
        <w:rPr>
          <w:rFonts w:asciiTheme="minorHAnsi" w:hAnsiTheme="minorHAnsi"/>
        </w:rPr>
        <w:t>may be required to und</w:t>
      </w:r>
      <w:r w:rsidRPr="008101C4">
        <w:rPr>
          <w:rFonts w:asciiTheme="minorHAnsi" w:hAnsiTheme="minorHAnsi"/>
        </w:rPr>
        <w:t xml:space="preserve">ertake other duties as </w:t>
      </w:r>
      <w:r w:rsidR="008101C4" w:rsidRPr="008101C4">
        <w:rPr>
          <w:rFonts w:asciiTheme="minorHAnsi" w:hAnsiTheme="minorHAnsi"/>
        </w:rPr>
        <w:t xml:space="preserve">requested by members of the A+G Executive Team. </w:t>
      </w:r>
      <w:r w:rsidRPr="008101C4">
        <w:rPr>
          <w:rFonts w:asciiTheme="minorHAnsi" w:hAnsiTheme="minorHAnsi"/>
        </w:rPr>
        <w:t xml:space="preserve"> </w:t>
      </w:r>
    </w:p>
    <w:p w14:paraId="2E1B590C" w14:textId="7C836376" w:rsidR="00582650" w:rsidRDefault="00E81942">
      <w:r>
        <w:br w:type="page"/>
      </w:r>
    </w:p>
    <w:sectPr w:rsidR="00582650" w:rsidSect="00A571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B76B" w14:textId="77777777" w:rsidR="00566323" w:rsidRDefault="00566323" w:rsidP="006602B8">
      <w:pPr>
        <w:spacing w:after="0" w:line="240" w:lineRule="auto"/>
      </w:pPr>
      <w:r>
        <w:separator/>
      </w:r>
    </w:p>
  </w:endnote>
  <w:endnote w:type="continuationSeparator" w:id="0">
    <w:p w14:paraId="12F22648" w14:textId="77777777" w:rsidR="00566323" w:rsidRDefault="00566323" w:rsidP="0066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ntonSans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titled Sans Medium">
    <w:altName w:val="Calibri"/>
    <w:charset w:val="00"/>
    <w:family w:val="auto"/>
    <w:pitch w:val="default"/>
  </w:font>
  <w:font w:name="Untitled Sans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26CE" w14:textId="77777777" w:rsidR="00B458AF" w:rsidRDefault="00B45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9CEA" w14:textId="77777777" w:rsidR="00FD300F" w:rsidRDefault="00FD300F" w:rsidP="00FD300F">
    <w:pPr>
      <w:pStyle w:val="Footer"/>
      <w:tabs>
        <w:tab w:val="clear" w:pos="4513"/>
        <w:tab w:val="clear" w:pos="9026"/>
        <w:tab w:val="left" w:pos="1562"/>
      </w:tabs>
      <w:rPr>
        <w:noProof/>
      </w:rPr>
    </w:pPr>
    <w:r w:rsidRPr="005851CB">
      <w:rPr>
        <w:rFonts w:ascii="Untitled Sans" w:hAnsi="Untitled Sans" w:cs="Arial"/>
        <w:i/>
        <w:iCs/>
        <w:sz w:val="16"/>
        <w:szCs w:val="16"/>
      </w:rPr>
      <w:t>Arts Capital Limited (ACN 639 255 815) is a not-for-profit company limited by guarantee and a registered charity that manages Ainslie Arts Centre and Gorman Arts Centre, heritage-listed ACT Government-owned facilities.</w:t>
    </w:r>
  </w:p>
  <w:p w14:paraId="5B31DAA1" w14:textId="77777777" w:rsidR="006602B8" w:rsidRDefault="006602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3A79" w14:textId="77777777" w:rsidR="00B458AF" w:rsidRDefault="00B45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CA11" w14:textId="77777777" w:rsidR="00566323" w:rsidRDefault="00566323" w:rsidP="006602B8">
      <w:pPr>
        <w:spacing w:after="0" w:line="240" w:lineRule="auto"/>
      </w:pPr>
      <w:r>
        <w:separator/>
      </w:r>
    </w:p>
  </w:footnote>
  <w:footnote w:type="continuationSeparator" w:id="0">
    <w:p w14:paraId="307D2DF8" w14:textId="77777777" w:rsidR="00566323" w:rsidRDefault="00566323" w:rsidP="0066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630A" w14:textId="14EBF524" w:rsidR="00B458AF" w:rsidRDefault="00B45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F5B9" w14:textId="3B282FA9" w:rsidR="006602B8" w:rsidRPr="005851CB" w:rsidRDefault="006602B8" w:rsidP="006602B8">
    <w:pPr>
      <w:spacing w:after="0" w:line="264" w:lineRule="auto"/>
      <w:rPr>
        <w:rFonts w:ascii="Untitled Sans Medium" w:hAnsi="Untitled Sans Medium"/>
        <w:sz w:val="16"/>
        <w:szCs w:val="16"/>
      </w:rPr>
    </w:pPr>
    <w:r w:rsidRPr="005851CB">
      <w:rPr>
        <w:noProof/>
      </w:rPr>
      <w:drawing>
        <wp:anchor distT="0" distB="0" distL="114300" distR="114300" simplePos="0" relativeHeight="251657216" behindDoc="0" locked="0" layoutInCell="1" allowOverlap="1" wp14:anchorId="42C89184" wp14:editId="2383479A">
          <wp:simplePos x="0" y="0"/>
          <wp:positionH relativeFrom="margin">
            <wp:align>right</wp:align>
          </wp:positionH>
          <wp:positionV relativeFrom="paragraph">
            <wp:posOffset>-92710</wp:posOffset>
          </wp:positionV>
          <wp:extent cx="2124075" cy="558695"/>
          <wp:effectExtent l="0" t="0" r="0" b="0"/>
          <wp:wrapNone/>
          <wp:docPr id="1340083561" name="Picture 1340083561" descr="A black circle with a whit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800209" name="Picture 1" descr="A black circle with a whit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55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51CB">
      <w:rPr>
        <w:rFonts w:ascii="Untitled Sans Medium" w:hAnsi="Untitled Sans Medium"/>
        <w:sz w:val="16"/>
        <w:szCs w:val="16"/>
      </w:rPr>
      <w:t>Ainslie Arts Centre</w:t>
    </w:r>
    <w:r w:rsidRPr="005851CB">
      <w:rPr>
        <w:rFonts w:ascii="Untitled Sans Medium" w:hAnsi="Untitled Sans Medium"/>
        <w:sz w:val="16"/>
        <w:szCs w:val="16"/>
      </w:rPr>
      <w:tab/>
      <w:t>Gorman Arts Centre (Main Office)</w:t>
    </w:r>
  </w:p>
  <w:p w14:paraId="6C456464" w14:textId="77777777" w:rsidR="006602B8" w:rsidRPr="005851CB" w:rsidRDefault="006602B8" w:rsidP="006602B8">
    <w:pPr>
      <w:spacing w:after="0" w:line="264" w:lineRule="auto"/>
      <w:rPr>
        <w:rFonts w:ascii="Untitled Sans" w:hAnsi="Untitled Sans"/>
        <w:sz w:val="16"/>
        <w:szCs w:val="16"/>
      </w:rPr>
    </w:pPr>
    <w:r w:rsidRPr="005851CB">
      <w:rPr>
        <w:rFonts w:ascii="Untitled Sans" w:hAnsi="Untitled Sans"/>
        <w:sz w:val="16"/>
        <w:szCs w:val="16"/>
      </w:rPr>
      <w:t>30 Elouera Street</w:t>
    </w:r>
    <w:r w:rsidRPr="005851CB">
      <w:rPr>
        <w:rFonts w:ascii="Untitled Sans" w:hAnsi="Untitled Sans"/>
        <w:sz w:val="16"/>
        <w:szCs w:val="16"/>
      </w:rPr>
      <w:tab/>
    </w:r>
    <w:r w:rsidRPr="005851CB">
      <w:rPr>
        <w:rFonts w:ascii="Untitled Sans" w:hAnsi="Untitled Sans"/>
        <w:sz w:val="16"/>
        <w:szCs w:val="16"/>
      </w:rPr>
      <w:tab/>
      <w:t>55 Ainslie Avenue</w:t>
    </w:r>
  </w:p>
  <w:p w14:paraId="3D293448" w14:textId="77777777" w:rsidR="006602B8" w:rsidRPr="005851CB" w:rsidRDefault="006602B8" w:rsidP="006602B8">
    <w:pPr>
      <w:spacing w:after="0" w:line="264" w:lineRule="auto"/>
      <w:rPr>
        <w:rFonts w:ascii="Untitled Sans" w:hAnsi="Untitled Sans"/>
        <w:sz w:val="16"/>
        <w:szCs w:val="16"/>
      </w:rPr>
    </w:pPr>
    <w:r w:rsidRPr="005851CB">
      <w:rPr>
        <w:rFonts w:ascii="Untitled Sans" w:hAnsi="Untitled Sans"/>
        <w:sz w:val="16"/>
        <w:szCs w:val="16"/>
      </w:rPr>
      <w:t>Braddon ACT 2612</w:t>
    </w:r>
    <w:r w:rsidRPr="005851CB">
      <w:rPr>
        <w:rFonts w:ascii="Untitled Sans" w:hAnsi="Untitled Sans"/>
        <w:sz w:val="16"/>
        <w:szCs w:val="16"/>
      </w:rPr>
      <w:tab/>
    </w:r>
    <w:r w:rsidRPr="005851CB">
      <w:rPr>
        <w:rFonts w:ascii="Untitled Sans" w:hAnsi="Untitled Sans"/>
        <w:sz w:val="16"/>
        <w:szCs w:val="16"/>
      </w:rPr>
      <w:tab/>
      <w:t>Braddon ACT 2612</w:t>
    </w:r>
  </w:p>
  <w:p w14:paraId="70C793FB" w14:textId="77777777" w:rsidR="006602B8" w:rsidRPr="005851CB" w:rsidRDefault="006602B8" w:rsidP="006602B8">
    <w:pPr>
      <w:spacing w:after="0" w:line="264" w:lineRule="auto"/>
      <w:rPr>
        <w:rFonts w:ascii="Untitled Sans" w:hAnsi="Untitled Sans"/>
        <w:sz w:val="16"/>
        <w:szCs w:val="16"/>
      </w:rPr>
    </w:pPr>
    <w:r w:rsidRPr="005851CB">
      <w:rPr>
        <w:rFonts w:ascii="Untitled Sans" w:hAnsi="Untitled Sans"/>
        <w:sz w:val="16"/>
        <w:szCs w:val="16"/>
      </w:rPr>
      <w:t>+61 2 6182 0000</w:t>
    </w:r>
    <w:r w:rsidRPr="005851CB">
      <w:rPr>
        <w:rFonts w:ascii="Untitled Sans" w:hAnsi="Untitled Sans"/>
        <w:sz w:val="16"/>
        <w:szCs w:val="16"/>
      </w:rPr>
      <w:tab/>
    </w:r>
    <w:r w:rsidRPr="005851CB">
      <w:rPr>
        <w:rFonts w:ascii="Untitled Sans" w:hAnsi="Untitled Sans"/>
        <w:sz w:val="16"/>
        <w:szCs w:val="16"/>
      </w:rPr>
      <w:tab/>
      <w:t>+61 2 6182 0000</w:t>
    </w:r>
  </w:p>
  <w:p w14:paraId="3384FE9E" w14:textId="77777777" w:rsidR="006602B8" w:rsidRDefault="006602B8" w:rsidP="006602B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5E9FD4" wp14:editId="0F2693C3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2028825" cy="674370"/>
          <wp:effectExtent l="0" t="0" r="9525" b="0"/>
          <wp:wrapTight wrapText="bothSides">
            <wp:wrapPolygon edited="0">
              <wp:start x="4056" y="0"/>
              <wp:lineTo x="1420" y="9763"/>
              <wp:lineTo x="0" y="16475"/>
              <wp:lineTo x="0" y="20746"/>
              <wp:lineTo x="21499" y="20746"/>
              <wp:lineTo x="21499" y="6712"/>
              <wp:lineTo x="19470" y="0"/>
              <wp:lineTo x="4056" y="0"/>
            </wp:wrapPolygon>
          </wp:wrapTight>
          <wp:docPr id="1109750796" name="Picture 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022198" name="Picture 7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8C5BF" w14:textId="77777777" w:rsidR="006602B8" w:rsidRDefault="006602B8" w:rsidP="006602B8">
    <w:pPr>
      <w:pStyle w:val="Header"/>
    </w:pPr>
  </w:p>
  <w:p w14:paraId="0736FBC5" w14:textId="77777777" w:rsidR="006602B8" w:rsidRDefault="006602B8" w:rsidP="006602B8">
    <w:pPr>
      <w:pStyle w:val="Header"/>
    </w:pPr>
  </w:p>
  <w:p w14:paraId="7667A9FC" w14:textId="23062C82" w:rsidR="006602B8" w:rsidRDefault="006602B8">
    <w:pPr>
      <w:pStyle w:val="Header"/>
    </w:pPr>
  </w:p>
  <w:p w14:paraId="5DC21EAB" w14:textId="77777777" w:rsidR="006602B8" w:rsidRDefault="006602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1ED0" w14:textId="5D11F4DF" w:rsidR="00B458AF" w:rsidRDefault="00B45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3E6"/>
    <w:multiLevelType w:val="multilevel"/>
    <w:tmpl w:val="575E09E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B2483"/>
    <w:multiLevelType w:val="multilevel"/>
    <w:tmpl w:val="87507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F92AF8"/>
    <w:multiLevelType w:val="hybridMultilevel"/>
    <w:tmpl w:val="6A1C3974"/>
    <w:lvl w:ilvl="0" w:tplc="1B7493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11121"/>
    <w:multiLevelType w:val="multilevel"/>
    <w:tmpl w:val="9A64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B5DDC"/>
    <w:multiLevelType w:val="multilevel"/>
    <w:tmpl w:val="97CAB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820BA"/>
    <w:multiLevelType w:val="multilevel"/>
    <w:tmpl w:val="4F5A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26F67"/>
    <w:multiLevelType w:val="hybridMultilevel"/>
    <w:tmpl w:val="6A52642E"/>
    <w:lvl w:ilvl="0" w:tplc="1056FD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D6860"/>
    <w:multiLevelType w:val="multilevel"/>
    <w:tmpl w:val="154A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B420D"/>
    <w:multiLevelType w:val="multilevel"/>
    <w:tmpl w:val="3C66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5422C"/>
    <w:multiLevelType w:val="hybridMultilevel"/>
    <w:tmpl w:val="3A9CFA84"/>
    <w:lvl w:ilvl="0" w:tplc="CDEC890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17902"/>
    <w:multiLevelType w:val="hybridMultilevel"/>
    <w:tmpl w:val="06625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63025"/>
    <w:multiLevelType w:val="multilevel"/>
    <w:tmpl w:val="7F80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96A6D"/>
    <w:multiLevelType w:val="hybridMultilevel"/>
    <w:tmpl w:val="6A3280DC"/>
    <w:lvl w:ilvl="0" w:tplc="67A494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26BAF"/>
    <w:multiLevelType w:val="multilevel"/>
    <w:tmpl w:val="86C25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A5D8C"/>
    <w:multiLevelType w:val="multilevel"/>
    <w:tmpl w:val="3C0C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674806"/>
    <w:multiLevelType w:val="multilevel"/>
    <w:tmpl w:val="BB84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064A9"/>
    <w:multiLevelType w:val="hybridMultilevel"/>
    <w:tmpl w:val="C1D242AE"/>
    <w:lvl w:ilvl="0" w:tplc="6176888A">
      <w:start w:val="1"/>
      <w:numFmt w:val="bullet"/>
      <w:pStyle w:val="AGList-Bullets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80796">
    <w:abstractNumId w:val="5"/>
  </w:num>
  <w:num w:numId="2" w16cid:durableId="483618991">
    <w:abstractNumId w:val="3"/>
  </w:num>
  <w:num w:numId="3" w16cid:durableId="1051809136">
    <w:abstractNumId w:val="11"/>
  </w:num>
  <w:num w:numId="4" w16cid:durableId="1267730736">
    <w:abstractNumId w:val="8"/>
  </w:num>
  <w:num w:numId="5" w16cid:durableId="1800488182">
    <w:abstractNumId w:val="9"/>
  </w:num>
  <w:num w:numId="6" w16cid:durableId="874580110">
    <w:abstractNumId w:val="1"/>
  </w:num>
  <w:num w:numId="7" w16cid:durableId="1333337213">
    <w:abstractNumId w:val="2"/>
  </w:num>
  <w:num w:numId="8" w16cid:durableId="256596992">
    <w:abstractNumId w:val="12"/>
  </w:num>
  <w:num w:numId="9" w16cid:durableId="961617351">
    <w:abstractNumId w:val="6"/>
  </w:num>
  <w:num w:numId="10" w16cid:durableId="2631945">
    <w:abstractNumId w:val="4"/>
  </w:num>
  <w:num w:numId="11" w16cid:durableId="1697463713">
    <w:abstractNumId w:val="14"/>
  </w:num>
  <w:num w:numId="12" w16cid:durableId="549151572">
    <w:abstractNumId w:val="10"/>
  </w:num>
  <w:num w:numId="13" w16cid:durableId="1780710971">
    <w:abstractNumId w:val="13"/>
  </w:num>
  <w:num w:numId="14" w16cid:durableId="1959952348">
    <w:abstractNumId w:val="7"/>
  </w:num>
  <w:num w:numId="15" w16cid:durableId="1717702460">
    <w:abstractNumId w:val="15"/>
  </w:num>
  <w:num w:numId="16" w16cid:durableId="96409979">
    <w:abstractNumId w:val="0"/>
  </w:num>
  <w:num w:numId="17" w16cid:durableId="719211272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AE"/>
    <w:rsid w:val="00011197"/>
    <w:rsid w:val="00011CF0"/>
    <w:rsid w:val="00044367"/>
    <w:rsid w:val="00044FAE"/>
    <w:rsid w:val="00050942"/>
    <w:rsid w:val="00057008"/>
    <w:rsid w:val="000614C3"/>
    <w:rsid w:val="00072CF2"/>
    <w:rsid w:val="0007624C"/>
    <w:rsid w:val="00096124"/>
    <w:rsid w:val="000A302A"/>
    <w:rsid w:val="000A61FE"/>
    <w:rsid w:val="000E00F8"/>
    <w:rsid w:val="000E2E8F"/>
    <w:rsid w:val="000E4DFF"/>
    <w:rsid w:val="000E6638"/>
    <w:rsid w:val="001008F1"/>
    <w:rsid w:val="00110E7B"/>
    <w:rsid w:val="00134423"/>
    <w:rsid w:val="00160A05"/>
    <w:rsid w:val="0019391F"/>
    <w:rsid w:val="001A0C34"/>
    <w:rsid w:val="001A2E2F"/>
    <w:rsid w:val="001B0C54"/>
    <w:rsid w:val="001E5396"/>
    <w:rsid w:val="001F3685"/>
    <w:rsid w:val="001F706B"/>
    <w:rsid w:val="00235BBB"/>
    <w:rsid w:val="00240CBA"/>
    <w:rsid w:val="00246AF7"/>
    <w:rsid w:val="002712A1"/>
    <w:rsid w:val="002728F2"/>
    <w:rsid w:val="00293B5B"/>
    <w:rsid w:val="002B0E8D"/>
    <w:rsid w:val="002B336F"/>
    <w:rsid w:val="002D62D7"/>
    <w:rsid w:val="002E19FE"/>
    <w:rsid w:val="002E39E0"/>
    <w:rsid w:val="002E6A71"/>
    <w:rsid w:val="002F08D9"/>
    <w:rsid w:val="002F5BF5"/>
    <w:rsid w:val="002F5C3A"/>
    <w:rsid w:val="002F6B9E"/>
    <w:rsid w:val="00301285"/>
    <w:rsid w:val="003061A4"/>
    <w:rsid w:val="00315984"/>
    <w:rsid w:val="00354C45"/>
    <w:rsid w:val="00356380"/>
    <w:rsid w:val="0036556E"/>
    <w:rsid w:val="003741AF"/>
    <w:rsid w:val="00375BC6"/>
    <w:rsid w:val="00381D32"/>
    <w:rsid w:val="0038235D"/>
    <w:rsid w:val="00387310"/>
    <w:rsid w:val="00391B8D"/>
    <w:rsid w:val="003947DF"/>
    <w:rsid w:val="00394BE3"/>
    <w:rsid w:val="003963CC"/>
    <w:rsid w:val="003A010D"/>
    <w:rsid w:val="003A7613"/>
    <w:rsid w:val="003C5933"/>
    <w:rsid w:val="003C732C"/>
    <w:rsid w:val="003D7E03"/>
    <w:rsid w:val="003F5DDE"/>
    <w:rsid w:val="004066A8"/>
    <w:rsid w:val="004079AC"/>
    <w:rsid w:val="00433A87"/>
    <w:rsid w:val="00434B9A"/>
    <w:rsid w:val="00434C3F"/>
    <w:rsid w:val="00445657"/>
    <w:rsid w:val="00465CD0"/>
    <w:rsid w:val="00471A90"/>
    <w:rsid w:val="00471ECF"/>
    <w:rsid w:val="00476501"/>
    <w:rsid w:val="0048534B"/>
    <w:rsid w:val="00490D19"/>
    <w:rsid w:val="004A3075"/>
    <w:rsid w:val="004B0A0C"/>
    <w:rsid w:val="004B406B"/>
    <w:rsid w:val="004B7804"/>
    <w:rsid w:val="004C2420"/>
    <w:rsid w:val="004C3408"/>
    <w:rsid w:val="004D386B"/>
    <w:rsid w:val="004D5594"/>
    <w:rsid w:val="004D603B"/>
    <w:rsid w:val="004E611A"/>
    <w:rsid w:val="00500504"/>
    <w:rsid w:val="00522CC4"/>
    <w:rsid w:val="00527163"/>
    <w:rsid w:val="00566323"/>
    <w:rsid w:val="00571DA4"/>
    <w:rsid w:val="00582650"/>
    <w:rsid w:val="005951BA"/>
    <w:rsid w:val="00595A40"/>
    <w:rsid w:val="005B38F1"/>
    <w:rsid w:val="005B4210"/>
    <w:rsid w:val="005B5319"/>
    <w:rsid w:val="005C2E34"/>
    <w:rsid w:val="005C7152"/>
    <w:rsid w:val="005E12F1"/>
    <w:rsid w:val="005E2157"/>
    <w:rsid w:val="005E6DB6"/>
    <w:rsid w:val="00603C16"/>
    <w:rsid w:val="00604EF8"/>
    <w:rsid w:val="006135D1"/>
    <w:rsid w:val="00614DE4"/>
    <w:rsid w:val="006166BD"/>
    <w:rsid w:val="00651752"/>
    <w:rsid w:val="006602B8"/>
    <w:rsid w:val="00660F2B"/>
    <w:rsid w:val="00661FA0"/>
    <w:rsid w:val="00663A78"/>
    <w:rsid w:val="0067169B"/>
    <w:rsid w:val="00672435"/>
    <w:rsid w:val="0067427C"/>
    <w:rsid w:val="00683ED7"/>
    <w:rsid w:val="00685F3A"/>
    <w:rsid w:val="006A21E4"/>
    <w:rsid w:val="006B42D1"/>
    <w:rsid w:val="006D2236"/>
    <w:rsid w:val="006E15FF"/>
    <w:rsid w:val="007137C4"/>
    <w:rsid w:val="00717C64"/>
    <w:rsid w:val="00724682"/>
    <w:rsid w:val="00726148"/>
    <w:rsid w:val="007524AB"/>
    <w:rsid w:val="00752D80"/>
    <w:rsid w:val="007532FD"/>
    <w:rsid w:val="00755E8C"/>
    <w:rsid w:val="0076048D"/>
    <w:rsid w:val="00783AF9"/>
    <w:rsid w:val="00795734"/>
    <w:rsid w:val="007B23EE"/>
    <w:rsid w:val="007D40AA"/>
    <w:rsid w:val="008062DA"/>
    <w:rsid w:val="008101C4"/>
    <w:rsid w:val="0081078B"/>
    <w:rsid w:val="00826B1B"/>
    <w:rsid w:val="0083185F"/>
    <w:rsid w:val="0083220F"/>
    <w:rsid w:val="00865963"/>
    <w:rsid w:val="00866089"/>
    <w:rsid w:val="00873BF1"/>
    <w:rsid w:val="00884F9D"/>
    <w:rsid w:val="008B1BB4"/>
    <w:rsid w:val="008C2312"/>
    <w:rsid w:val="008C6D48"/>
    <w:rsid w:val="008C769C"/>
    <w:rsid w:val="008D6EC3"/>
    <w:rsid w:val="008E0BE7"/>
    <w:rsid w:val="008E4D6A"/>
    <w:rsid w:val="008F0264"/>
    <w:rsid w:val="00900ED4"/>
    <w:rsid w:val="00906626"/>
    <w:rsid w:val="009122F4"/>
    <w:rsid w:val="00912699"/>
    <w:rsid w:val="00914C4A"/>
    <w:rsid w:val="00916037"/>
    <w:rsid w:val="00936D1E"/>
    <w:rsid w:val="00941CAE"/>
    <w:rsid w:val="0094358E"/>
    <w:rsid w:val="009824E5"/>
    <w:rsid w:val="0098383A"/>
    <w:rsid w:val="00985891"/>
    <w:rsid w:val="009869E2"/>
    <w:rsid w:val="00991DF8"/>
    <w:rsid w:val="009937A7"/>
    <w:rsid w:val="0099487E"/>
    <w:rsid w:val="009963DC"/>
    <w:rsid w:val="009A3069"/>
    <w:rsid w:val="009A3B63"/>
    <w:rsid w:val="009A7E84"/>
    <w:rsid w:val="009A7FF8"/>
    <w:rsid w:val="009B2293"/>
    <w:rsid w:val="009B2E70"/>
    <w:rsid w:val="009C161A"/>
    <w:rsid w:val="009C448B"/>
    <w:rsid w:val="009C59B1"/>
    <w:rsid w:val="009D1FEE"/>
    <w:rsid w:val="009D5F3C"/>
    <w:rsid w:val="009E486C"/>
    <w:rsid w:val="00A1354B"/>
    <w:rsid w:val="00A23C09"/>
    <w:rsid w:val="00A25BA7"/>
    <w:rsid w:val="00A41EE7"/>
    <w:rsid w:val="00A53B84"/>
    <w:rsid w:val="00A5710A"/>
    <w:rsid w:val="00A6651A"/>
    <w:rsid w:val="00A66D1D"/>
    <w:rsid w:val="00A67FF8"/>
    <w:rsid w:val="00A7534F"/>
    <w:rsid w:val="00A904E4"/>
    <w:rsid w:val="00A951CE"/>
    <w:rsid w:val="00AA217E"/>
    <w:rsid w:val="00AA7801"/>
    <w:rsid w:val="00AB6AC8"/>
    <w:rsid w:val="00AC2F23"/>
    <w:rsid w:val="00AE1312"/>
    <w:rsid w:val="00AE771D"/>
    <w:rsid w:val="00AF2CBE"/>
    <w:rsid w:val="00AF55ED"/>
    <w:rsid w:val="00AF79DA"/>
    <w:rsid w:val="00B143FD"/>
    <w:rsid w:val="00B15031"/>
    <w:rsid w:val="00B32EFC"/>
    <w:rsid w:val="00B458AF"/>
    <w:rsid w:val="00B5114D"/>
    <w:rsid w:val="00B51728"/>
    <w:rsid w:val="00B65ED5"/>
    <w:rsid w:val="00B74975"/>
    <w:rsid w:val="00B94D43"/>
    <w:rsid w:val="00B95F98"/>
    <w:rsid w:val="00B96A21"/>
    <w:rsid w:val="00BA3DB0"/>
    <w:rsid w:val="00BB2466"/>
    <w:rsid w:val="00BB3F97"/>
    <w:rsid w:val="00BD0865"/>
    <w:rsid w:val="00BD3D86"/>
    <w:rsid w:val="00C0401E"/>
    <w:rsid w:val="00C205FB"/>
    <w:rsid w:val="00C21941"/>
    <w:rsid w:val="00C26517"/>
    <w:rsid w:val="00C26BF5"/>
    <w:rsid w:val="00C316BE"/>
    <w:rsid w:val="00C46DFF"/>
    <w:rsid w:val="00C52FEC"/>
    <w:rsid w:val="00C53A4A"/>
    <w:rsid w:val="00C634A9"/>
    <w:rsid w:val="00C67ABA"/>
    <w:rsid w:val="00C702F8"/>
    <w:rsid w:val="00C73AAD"/>
    <w:rsid w:val="00CC01AA"/>
    <w:rsid w:val="00CE034D"/>
    <w:rsid w:val="00CF0994"/>
    <w:rsid w:val="00CF338F"/>
    <w:rsid w:val="00D05153"/>
    <w:rsid w:val="00D3390C"/>
    <w:rsid w:val="00D34CDC"/>
    <w:rsid w:val="00D5104D"/>
    <w:rsid w:val="00D5113B"/>
    <w:rsid w:val="00D541DE"/>
    <w:rsid w:val="00D65AF3"/>
    <w:rsid w:val="00D65EC6"/>
    <w:rsid w:val="00D6666D"/>
    <w:rsid w:val="00D86155"/>
    <w:rsid w:val="00DB4318"/>
    <w:rsid w:val="00DB5802"/>
    <w:rsid w:val="00DF1463"/>
    <w:rsid w:val="00E069C6"/>
    <w:rsid w:val="00E237A8"/>
    <w:rsid w:val="00E240B5"/>
    <w:rsid w:val="00E27A65"/>
    <w:rsid w:val="00E30A36"/>
    <w:rsid w:val="00E37CB2"/>
    <w:rsid w:val="00E4190B"/>
    <w:rsid w:val="00E44FAE"/>
    <w:rsid w:val="00E6673C"/>
    <w:rsid w:val="00E72014"/>
    <w:rsid w:val="00E81942"/>
    <w:rsid w:val="00EA0BDD"/>
    <w:rsid w:val="00EC46A6"/>
    <w:rsid w:val="00EE03A3"/>
    <w:rsid w:val="00EF78A1"/>
    <w:rsid w:val="00F01D12"/>
    <w:rsid w:val="00F02740"/>
    <w:rsid w:val="00F03C51"/>
    <w:rsid w:val="00F268F6"/>
    <w:rsid w:val="00F37521"/>
    <w:rsid w:val="00F43861"/>
    <w:rsid w:val="00F451BD"/>
    <w:rsid w:val="00F47EB3"/>
    <w:rsid w:val="00F5182D"/>
    <w:rsid w:val="00F526FF"/>
    <w:rsid w:val="00F6244C"/>
    <w:rsid w:val="00F644A2"/>
    <w:rsid w:val="00F7505E"/>
    <w:rsid w:val="00F9109B"/>
    <w:rsid w:val="00FA36D3"/>
    <w:rsid w:val="00FA695B"/>
    <w:rsid w:val="00FB0135"/>
    <w:rsid w:val="00FB6197"/>
    <w:rsid w:val="00FC120A"/>
    <w:rsid w:val="00FC3889"/>
    <w:rsid w:val="00FD149E"/>
    <w:rsid w:val="00FD300F"/>
    <w:rsid w:val="00F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3B597"/>
  <w15:chartTrackingRefBased/>
  <w15:docId w15:val="{143DF52F-4886-490E-9301-3706FD20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F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0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2B8"/>
  </w:style>
  <w:style w:type="paragraph" w:styleId="Footer">
    <w:name w:val="footer"/>
    <w:basedOn w:val="Normal"/>
    <w:link w:val="FooterChar"/>
    <w:uiPriority w:val="99"/>
    <w:unhideWhenUsed/>
    <w:rsid w:val="00660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2B8"/>
  </w:style>
  <w:style w:type="table" w:styleId="TableGrid">
    <w:name w:val="Table Grid"/>
    <w:basedOn w:val="TableNormal"/>
    <w:uiPriority w:val="39"/>
    <w:rsid w:val="003A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List-Bullets">
    <w:name w:val="A+G List - Bullets"/>
    <w:basedOn w:val="ListParagraph"/>
    <w:qFormat/>
    <w:rsid w:val="009B2E70"/>
    <w:pPr>
      <w:numPr>
        <w:numId w:val="17"/>
      </w:numPr>
      <w:tabs>
        <w:tab w:val="num" w:pos="360"/>
      </w:tabs>
      <w:spacing w:after="120" w:line="264" w:lineRule="auto"/>
      <w:ind w:firstLine="0"/>
    </w:pPr>
    <w:rPr>
      <w:rFonts w:ascii="BentonSans Light" w:eastAsiaTheme="minorEastAsia" w:hAnsi="BentonSans Light" w:cs="Calibri"/>
      <w:kern w:val="0"/>
      <w:sz w:val="20"/>
      <w:szCs w:val="20"/>
      <w:lang w:val="en-AU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81cea-7d10-44e5-bd5f-26ddfd1b0652" xsi:nil="true"/>
    <lcf76f155ced4ddcb4097134ff3c332f xmlns="1e2e3d50-f236-44fa-b16c-056d9713a6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24BBBE46B9A49ADDC4712CF49A6A1" ma:contentTypeVersion="18" ma:contentTypeDescription="Create a new document." ma:contentTypeScope="" ma:versionID="90b6608848054f05c7e04bec9dc84bb5">
  <xsd:schema xmlns:xsd="http://www.w3.org/2001/XMLSchema" xmlns:xs="http://www.w3.org/2001/XMLSchema" xmlns:p="http://schemas.microsoft.com/office/2006/metadata/properties" xmlns:ns2="1e2e3d50-f236-44fa-b16c-056d9713a6a5" xmlns:ns3="d4781cea-7d10-44e5-bd5f-26ddfd1b0652" targetNamespace="http://schemas.microsoft.com/office/2006/metadata/properties" ma:root="true" ma:fieldsID="d002794866999cce35db752e3d168884" ns2:_="" ns3:_="">
    <xsd:import namespace="1e2e3d50-f236-44fa-b16c-056d9713a6a5"/>
    <xsd:import namespace="d4781cea-7d10-44e5-bd5f-26ddfd1b0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e3d50-f236-44fa-b16c-056d9713a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b9a9465-4f81-4ef4-9192-36316c284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81cea-7d10-44e5-bd5f-26ddfd1b0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0c320f-afcc-44f8-8773-0faeca75690f}" ma:internalName="TaxCatchAll" ma:showField="CatchAllData" ma:web="d4781cea-7d10-44e5-bd5f-26ddfd1b0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A91A4-EB73-4C01-8512-43310784A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77369-4155-45A2-995A-EC14BF6C9067}">
  <ds:schemaRefs>
    <ds:schemaRef ds:uri="http://schemas.microsoft.com/office/2006/metadata/properties"/>
    <ds:schemaRef ds:uri="http://schemas.microsoft.com/office/infopath/2007/PartnerControls"/>
    <ds:schemaRef ds:uri="d4781cea-7d10-44e5-bd5f-26ddfd1b0652"/>
    <ds:schemaRef ds:uri="1e2e3d50-f236-44fa-b16c-056d9713a6a5"/>
  </ds:schemaRefs>
</ds:datastoreItem>
</file>

<file path=customXml/itemProps3.xml><?xml version="1.0" encoding="utf-8"?>
<ds:datastoreItem xmlns:ds="http://schemas.openxmlformats.org/officeDocument/2006/customXml" ds:itemID="{EA627EB7-A048-483C-ABA4-10539B6B7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e3d50-f236-44fa-b16c-056d9713a6a5"/>
    <ds:schemaRef ds:uri="d4781cea-7d10-44e5-bd5f-26ddfd1b0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Bennison</dc:creator>
  <cp:keywords/>
  <dc:description/>
  <cp:lastModifiedBy>Pedro Ribas</cp:lastModifiedBy>
  <cp:revision>11</cp:revision>
  <cp:lastPrinted>2026-06-30T07:35:00Z</cp:lastPrinted>
  <dcterms:created xsi:type="dcterms:W3CDTF">2026-07-14T04:49:00Z</dcterms:created>
  <dcterms:modified xsi:type="dcterms:W3CDTF">2026-07-14T05:21:00Z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0x01010081924BBBE46B9A49ADDC4712CF49A6A1</vt:lpwstr>
  </property>
</Properties>
</file>